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" w:cs="Times New Roman"/>
          <w:b/>
          <w:bCs/>
          <w:color w:val="000000"/>
          <w:kern w:val="24"/>
          <w:sz w:val="30"/>
          <w:szCs w:val="30"/>
        </w:rPr>
      </w:pPr>
    </w:p>
    <w:p>
      <w:pPr>
        <w:spacing w:line="360" w:lineRule="auto"/>
        <w:jc w:val="left"/>
        <w:rPr>
          <w:rFonts w:ascii="Times New Roman" w:hAnsi="Times New Roman" w:eastAsia="仿宋" w:cs="Times New Roman"/>
          <w:b/>
          <w:bCs/>
          <w:color w:val="000000"/>
          <w:kern w:val="24"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8"/>
          <w:szCs w:val="48"/>
        </w:rPr>
      </w:pPr>
      <w:r>
        <w:rPr>
          <w:rFonts w:ascii="Times New Roman" w:hAnsi="Times New Roman" w:eastAsia="黑体" w:cs="Times New Roman"/>
          <w:b/>
          <w:bCs/>
          <w:color w:val="000000"/>
          <w:kern w:val="24"/>
          <w:sz w:val="48"/>
          <w:szCs w:val="48"/>
        </w:rPr>
        <w:t>20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24"/>
          <w:sz w:val="48"/>
          <w:szCs w:val="48"/>
        </w:rPr>
        <w:t>2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24"/>
          <w:sz w:val="48"/>
          <w:szCs w:val="48"/>
          <w:lang w:val="en-US" w:eastAsia="zh-CN"/>
        </w:rPr>
        <w:t>1</w:t>
      </w:r>
      <w:r>
        <w:rPr>
          <w:rFonts w:ascii="Times New Roman" w:hAnsi="Times New Roman" w:eastAsia="黑体" w:cs="Times New Roman"/>
          <w:b/>
          <w:bCs/>
          <w:color w:val="000000"/>
          <w:kern w:val="24"/>
          <w:sz w:val="48"/>
          <w:szCs w:val="48"/>
        </w:rPr>
        <w:t>年度企业社会责任报告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b/>
          <w:bCs/>
          <w:color w:val="000000"/>
          <w:kern w:val="24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24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365760</wp:posOffset>
            </wp:positionV>
            <wp:extent cx="1596390" cy="1596390"/>
            <wp:effectExtent l="27305" t="8890" r="33655" b="52070"/>
            <wp:wrapNone/>
            <wp:docPr id="1" name="图片 1" descr="76d53e1b31d74ba8bd8f002ad87c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d53e1b31d74ba8bd8f002ad87ce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880000">
                      <a:off x="0" y="0"/>
                      <a:ext cx="15963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kern w:val="24"/>
          <w:sz w:val="44"/>
          <w:szCs w:val="44"/>
        </w:rPr>
      </w:pPr>
    </w:p>
    <w:p>
      <w:pPr>
        <w:spacing w:line="720" w:lineRule="auto"/>
        <w:jc w:val="center"/>
        <w:rPr>
          <w:rFonts w:hint="eastAsia" w:ascii="Times New Roman" w:hAnsi="Times New Roman" w:eastAsia="黑体" w:cs="Times New Roman"/>
          <w:bCs/>
          <w:color w:val="000000"/>
          <w:kern w:val="24"/>
          <w:sz w:val="48"/>
          <w:szCs w:val="48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24"/>
          <w:sz w:val="48"/>
          <w:szCs w:val="48"/>
          <w:lang w:eastAsia="zh-CN"/>
        </w:rPr>
        <w:t>泰州市旺鑫耐火材料有限公司</w:t>
      </w:r>
    </w:p>
    <w:p>
      <w:pPr>
        <w:spacing w:line="720" w:lineRule="auto"/>
        <w:jc w:val="center"/>
        <w:rPr>
          <w:rFonts w:ascii="Times New Roman" w:hAnsi="Times New Roman" w:eastAsia="黑体" w:cs="Times New Roman"/>
          <w:bCs/>
          <w:color w:val="000000"/>
          <w:kern w:val="24"/>
          <w:sz w:val="48"/>
          <w:szCs w:val="48"/>
        </w:rPr>
      </w:pPr>
      <w:r>
        <w:rPr>
          <w:rFonts w:ascii="Times New Roman" w:hAnsi="Times New Roman" w:eastAsia="黑体" w:cs="Times New Roman"/>
          <w:bCs/>
          <w:color w:val="000000"/>
          <w:kern w:val="24"/>
          <w:sz w:val="48"/>
          <w:szCs w:val="48"/>
        </w:rPr>
        <w:t>二零</w:t>
      </w:r>
      <w:r>
        <w:rPr>
          <w:rFonts w:hint="eastAsia" w:ascii="Times New Roman" w:hAnsi="Times New Roman" w:eastAsia="黑体" w:cs="Times New Roman"/>
          <w:bCs/>
          <w:color w:val="000000"/>
          <w:kern w:val="24"/>
          <w:sz w:val="48"/>
          <w:szCs w:val="48"/>
        </w:rPr>
        <w:t>二</w:t>
      </w:r>
      <w:r>
        <w:rPr>
          <w:rFonts w:hint="eastAsia" w:ascii="Times New Roman" w:hAnsi="Times New Roman" w:eastAsia="黑体" w:cs="Times New Roman"/>
          <w:bCs/>
          <w:color w:val="000000"/>
          <w:kern w:val="24"/>
          <w:sz w:val="48"/>
          <w:szCs w:val="48"/>
          <w:lang w:val="en-US" w:eastAsia="zh-CN"/>
        </w:rPr>
        <w:t>一</w:t>
      </w:r>
      <w:r>
        <w:rPr>
          <w:rFonts w:ascii="Times New Roman" w:hAnsi="Times New Roman" w:eastAsia="黑体" w:cs="Times New Roman"/>
          <w:bCs/>
          <w:color w:val="000000"/>
          <w:kern w:val="24"/>
          <w:sz w:val="48"/>
          <w:szCs w:val="48"/>
        </w:rPr>
        <w:t>年</w:t>
      </w:r>
    </w:p>
    <w:p>
      <w:pPr>
        <w:widowControl/>
        <w:spacing w:after="312" w:afterLines="100" w:line="360" w:lineRule="auto"/>
        <w:jc w:val="center"/>
        <w:rPr>
          <w:rFonts w:ascii="Times New Roman" w:hAnsi="Times New Roman" w:eastAsia="黑体" w:cs="Times New Roman"/>
          <w:bCs/>
          <w:color w:val="000000"/>
          <w:kern w:val="24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after="312" w:afterLines="100" w:line="360" w:lineRule="auto"/>
        <w:jc w:val="center"/>
        <w:rPr>
          <w:rFonts w:ascii="Times New Roman" w:hAnsi="Times New Roman" w:eastAsia="黑体" w:cs="Times New Roman"/>
          <w:b/>
          <w:color w:val="000000"/>
          <w:sz w:val="32"/>
          <w:szCs w:val="36"/>
        </w:rPr>
      </w:pPr>
      <w:r>
        <w:rPr>
          <w:rStyle w:val="10"/>
          <w:rFonts w:hint="default" w:ascii="Times New Roman" w:hAnsi="Times New Roman" w:cs="Times New Roman"/>
          <w:b/>
          <w:szCs w:val="36"/>
        </w:rPr>
        <w:t>一部分 编制规范</w:t>
      </w:r>
    </w:p>
    <w:p>
      <w:pPr>
        <w:pStyle w:val="3"/>
        <w:spacing w:before="0" w:after="156" w:afterLines="50" w:line="360" w:lineRule="auto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sz w:val="28"/>
          <w:szCs w:val="28"/>
        </w:rPr>
        <w:t>1、内容客观性声明</w:t>
      </w:r>
    </w:p>
    <w:p>
      <w:pPr>
        <w:spacing w:after="156" w:afterLines="50" w:line="360" w:lineRule="auto"/>
        <w:ind w:firstLine="480" w:firstLineChars="200"/>
        <w:rPr>
          <w:rFonts w:ascii="Times New Roman" w:hAnsi="Times New Roman" w:cs="Times New Roman"/>
          <w:color w:val="000000"/>
        </w:rPr>
      </w:pPr>
      <w:r>
        <w:rPr>
          <w:rStyle w:val="11"/>
          <w:rFonts w:hint="eastAsia" w:ascii="Times New Roman" w:hAnsi="Times New Roman" w:cs="Times New Roman"/>
          <w:lang w:eastAsia="zh-CN"/>
        </w:rPr>
        <w:t>泰州市旺鑫耐火材料有限公司</w:t>
      </w:r>
      <w:r>
        <w:rPr>
          <w:rStyle w:val="11"/>
          <w:rFonts w:hint="default" w:ascii="Times New Roman" w:hAnsi="Times New Roman" w:cs="Times New Roman"/>
        </w:rPr>
        <w:t>公布的社会责任报告本着客观、公正的态度进行编写，报告内容真实，符合企业实际情况。</w:t>
      </w:r>
    </w:p>
    <w:p>
      <w:pPr>
        <w:pStyle w:val="3"/>
        <w:spacing w:before="0" w:after="156" w:afterLines="50" w:line="360" w:lineRule="auto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sz w:val="28"/>
          <w:szCs w:val="28"/>
        </w:rPr>
        <w:t>2、组织范围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hint="eastAsia" w:ascii="Times New Roman" w:hAnsi="Times New Roman" w:cs="Times New Roman"/>
          <w:lang w:eastAsia="zh-CN"/>
        </w:rPr>
        <w:t>泰州市旺鑫耐火材料有限公司</w:t>
      </w:r>
      <w:r>
        <w:rPr>
          <w:rStyle w:val="11"/>
          <w:rFonts w:hint="default" w:ascii="Times New Roman" w:hAnsi="Times New Roman" w:cs="Times New Roman"/>
        </w:rPr>
        <w:t>。</w:t>
      </w:r>
    </w:p>
    <w:p>
      <w:pPr>
        <w:spacing w:after="156" w:afterLines="50"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hint="default" w:ascii="Times New Roman" w:hAnsi="Times New Roman" w:cs="Times New Roman"/>
        </w:rPr>
        <w:t>报告中所述“公司”、“</w:t>
      </w:r>
      <w:r>
        <w:rPr>
          <w:rStyle w:val="11"/>
          <w:rFonts w:hint="eastAsia" w:ascii="Times New Roman" w:hAnsi="Times New Roman" w:cs="Times New Roman"/>
          <w:lang w:eastAsia="zh-CN"/>
        </w:rPr>
        <w:t>旺鑫</w:t>
      </w:r>
      <w:r>
        <w:rPr>
          <w:rStyle w:val="11"/>
          <w:rFonts w:hint="default" w:ascii="Times New Roman" w:hAnsi="Times New Roman" w:cs="Times New Roman"/>
        </w:rPr>
        <w:t>”、“我们”均指</w:t>
      </w:r>
      <w:r>
        <w:rPr>
          <w:rStyle w:val="11"/>
          <w:rFonts w:hint="eastAsia" w:ascii="Times New Roman" w:hAnsi="Times New Roman" w:cs="Times New Roman"/>
          <w:lang w:eastAsia="zh-CN"/>
        </w:rPr>
        <w:t>泰州市旺鑫耐火材料有限公司</w:t>
      </w:r>
      <w:r>
        <w:rPr>
          <w:rStyle w:val="11"/>
          <w:rFonts w:hint="default" w:ascii="Times New Roman" w:hAnsi="Times New Roman" w:cs="Times New Roman"/>
        </w:rPr>
        <w:t>。</w:t>
      </w:r>
    </w:p>
    <w:p>
      <w:pPr>
        <w:pStyle w:val="3"/>
        <w:spacing w:before="0" w:after="156" w:afterLines="50" w:line="360" w:lineRule="auto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sz w:val="28"/>
          <w:szCs w:val="28"/>
        </w:rPr>
        <w:t>3、时间范围</w:t>
      </w:r>
    </w:p>
    <w:p>
      <w:pPr>
        <w:spacing w:after="156" w:afterLines="50" w:line="360" w:lineRule="auto"/>
        <w:ind w:firstLine="480" w:firstLineChars="200"/>
        <w:rPr>
          <w:rFonts w:ascii="Times New Roman" w:hAnsi="Times New Roman" w:cs="Times New Roman"/>
          <w:color w:val="000000"/>
        </w:rPr>
      </w:pPr>
      <w:r>
        <w:rPr>
          <w:rStyle w:val="11"/>
          <w:rFonts w:hint="default" w:ascii="Times New Roman" w:hAnsi="Times New Roman" w:cs="Times New Roman"/>
        </w:rPr>
        <w:t>202</w:t>
      </w:r>
      <w:r>
        <w:rPr>
          <w:rStyle w:val="11"/>
          <w:rFonts w:hint="eastAsia" w:ascii="Times New Roman" w:hAnsi="Times New Roman" w:cs="Times New Roman"/>
          <w:lang w:val="en-US" w:eastAsia="zh-CN"/>
        </w:rPr>
        <w:t>1</w:t>
      </w:r>
      <w:r>
        <w:rPr>
          <w:rStyle w:val="11"/>
          <w:rFonts w:hint="default" w:ascii="Times New Roman" w:hAnsi="Times New Roman" w:cs="Times New Roman"/>
        </w:rPr>
        <w:t>年1月至202</w:t>
      </w:r>
      <w:r>
        <w:rPr>
          <w:rStyle w:val="11"/>
          <w:rFonts w:hint="eastAsia" w:ascii="Times New Roman" w:hAnsi="Times New Roman" w:cs="Times New Roman"/>
          <w:lang w:val="en-US" w:eastAsia="zh-CN"/>
        </w:rPr>
        <w:t>1</w:t>
      </w:r>
      <w:r>
        <w:rPr>
          <w:rStyle w:val="11"/>
          <w:rFonts w:hint="default" w:ascii="Times New Roman" w:hAnsi="Times New Roman" w:cs="Times New Roman"/>
        </w:rPr>
        <w:t>年12月，为保持报告连贯性与可读性，部分内容延伸出上述时间范围。</w:t>
      </w:r>
    </w:p>
    <w:p>
      <w:pPr>
        <w:pStyle w:val="3"/>
        <w:spacing w:before="0" w:after="156" w:afterLines="50" w:line="360" w:lineRule="auto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sz w:val="28"/>
          <w:szCs w:val="28"/>
        </w:rPr>
        <w:t>4、发布周期</w:t>
      </w:r>
    </w:p>
    <w:p>
      <w:pPr>
        <w:spacing w:after="156" w:afterLines="50" w:line="360" w:lineRule="auto"/>
        <w:ind w:firstLine="480" w:firstLineChars="200"/>
        <w:rPr>
          <w:rFonts w:ascii="Times New Roman" w:hAnsi="Times New Roman" w:cs="Times New Roman"/>
          <w:color w:val="000000"/>
        </w:rPr>
      </w:pPr>
      <w:r>
        <w:rPr>
          <w:rStyle w:val="11"/>
          <w:rFonts w:hint="default" w:ascii="Times New Roman" w:hAnsi="Times New Roman" w:cs="Times New Roman"/>
        </w:rPr>
        <w:t>本报告每年发布一次，本年度报告为</w:t>
      </w:r>
      <w:r>
        <w:rPr>
          <w:rStyle w:val="11"/>
          <w:rFonts w:hint="eastAsia" w:ascii="Times New Roman" w:hAnsi="Times New Roman" w:cs="Times New Roman"/>
          <w:lang w:val="en-US" w:eastAsia="zh-CN"/>
        </w:rPr>
        <w:t>初次</w:t>
      </w:r>
      <w:bookmarkStart w:id="0" w:name="_GoBack"/>
      <w:bookmarkEnd w:id="0"/>
      <w:r>
        <w:rPr>
          <w:rStyle w:val="11"/>
          <w:rFonts w:hint="default" w:ascii="Times New Roman" w:hAnsi="Times New Roman" w:cs="Times New Roman"/>
        </w:rPr>
        <w:t>发布。</w:t>
      </w:r>
    </w:p>
    <w:p>
      <w:pPr>
        <w:pStyle w:val="3"/>
        <w:spacing w:before="0" w:after="156" w:afterLines="50" w:line="360" w:lineRule="auto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sz w:val="28"/>
          <w:szCs w:val="28"/>
        </w:rPr>
        <w:t>5、数据说明</w:t>
      </w:r>
    </w:p>
    <w:p>
      <w:pPr>
        <w:spacing w:after="156" w:afterLines="50" w:line="360" w:lineRule="auto"/>
        <w:ind w:firstLine="480" w:firstLineChars="200"/>
        <w:rPr>
          <w:rFonts w:ascii="Times New Roman" w:hAnsi="Times New Roman" w:cs="Times New Roman"/>
          <w:color w:val="000000"/>
        </w:rPr>
      </w:pPr>
      <w:r>
        <w:rPr>
          <w:rStyle w:val="11"/>
          <w:rFonts w:hint="default" w:ascii="Times New Roman" w:hAnsi="Times New Roman" w:cs="Times New Roman"/>
        </w:rPr>
        <w:t>本报告披露的财务数据来自公司各类财务报表，其他数据来自公司内部统计，特别说明除外。</w:t>
      </w:r>
    </w:p>
    <w:p>
      <w:pPr>
        <w:pStyle w:val="3"/>
        <w:spacing w:before="0" w:after="156" w:afterLines="50" w:line="360" w:lineRule="auto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sz w:val="28"/>
          <w:szCs w:val="28"/>
        </w:rPr>
        <w:t>6、解答报告及其内容问题的联络人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联系部门：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泰州市旺鑫耐火材料有限公司综合部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联系人：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高俊祥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联系地址：江苏省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泰州市姜堰区蒋垛镇工业集中区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联系电话：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0523-88387789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传 真：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0523-88389788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4"/>
          <w:szCs w:val="24"/>
        </w:rPr>
        <w:t>E-Mail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wxnhcl@126.com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2"/>
        <w:spacing w:before="0" w:after="312" w:afterLines="100" w:line="360" w:lineRule="auto"/>
        <w:jc w:val="center"/>
        <w:rPr>
          <w:rFonts w:ascii="Times New Roman" w:hAnsi="Times New Roman" w:eastAsia="仿宋" w:cs="Times New Roman"/>
          <w:b w:val="0"/>
          <w:bCs w:val="0"/>
          <w:color w:val="000000"/>
          <w:kern w:val="24"/>
          <w:sz w:val="30"/>
          <w:szCs w:val="30"/>
        </w:rPr>
      </w:pPr>
      <w:r>
        <w:rPr>
          <w:rStyle w:val="10"/>
          <w:rFonts w:hint="default" w:ascii="Times New Roman" w:hAnsi="Times New Roman" w:cs="Times New Roman"/>
        </w:rPr>
        <w:t>二部分 报告正文</w:t>
      </w:r>
    </w:p>
    <w:p>
      <w:pPr>
        <w:pStyle w:val="3"/>
        <w:spacing w:before="156" w:beforeLines="50" w:after="156" w:afterLines="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1、公司简介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泰州市旺鑫耐火材料有限公司是股份所有制私营企业，在董事长率领下，经过近二十年拼搏，公司发展势头迅猛，目前已具规模，具备了集炼钢连铸耐火材料综合研究，技术开发，生产经营及现场施工服务能力的专业企业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公司已拥有高纯氧化锆制品生产线三条，中间包用快换上、下水口生产线各一条，各种塞棒水口、定径水口年产量已逾10万支，快换上、下水口1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0余万只；有中间包干式振动料生产线一条，以及中间包预制件及电炉盖生产线，年生产不定型耐火材料产品达5万余吨；有连铸用塞棒、大包长水口、浸入式水口生产线三条，年产量逾6000吨；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有喉衬生产线一条，年产量2000只；</w:t>
      </w:r>
      <w:r>
        <w:rPr>
          <w:rFonts w:hint="eastAsia" w:ascii="Times New Roman" w:hAnsi="Times New Roman" w:cs="Times New Roman"/>
          <w:sz w:val="24"/>
          <w:szCs w:val="24"/>
        </w:rPr>
        <w:t>已具备连铸机中间包用耐材整体设计、施工承包、现场服务的综合生产能力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;钢包</w:t>
      </w:r>
      <w:r>
        <w:rPr>
          <w:rFonts w:hint="eastAsia" w:ascii="Times New Roman" w:hAnsi="Times New Roman" w:cs="Times New Roman"/>
          <w:sz w:val="24"/>
          <w:szCs w:val="24"/>
        </w:rPr>
        <w:t>用耐材整体设计、施工承包、现场服务的综合生产能力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适应了日益发展的炼钢连铸技术对耐火材料的要求。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泰州市旺鑫耐火材料有限公司自成立以来一直努力加强自身资质，是高新技术企业、江苏省民营科技企业、拥有泰州市名牌产品、泰州市知名商标、泰州市质量技术监督局颁发的计量合格确认证书、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标准化良好行为企业、</w:t>
      </w:r>
      <w:r>
        <w:rPr>
          <w:rFonts w:hint="eastAsia" w:ascii="Times New Roman" w:hAnsi="Times New Roman" w:cs="Times New Roman"/>
          <w:sz w:val="24"/>
          <w:szCs w:val="24"/>
        </w:rPr>
        <w:t>建立了泰州市工程技术研究中心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泰州市企业技术中心、获得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湖北省科技进步三等奖、江苏省五一劳动奖、</w:t>
      </w:r>
      <w:r>
        <w:rPr>
          <w:rFonts w:hint="eastAsia" w:ascii="Times New Roman" w:hAnsi="Times New Roman" w:cs="Times New Roman"/>
          <w:sz w:val="24"/>
          <w:szCs w:val="24"/>
        </w:rPr>
        <w:t>泰州市科技进步一等奖、获得泰州市质量管理奖等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随着质量体系认证、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环境管理体系认证、职业健康安全体系认证、能源体系认证的</w:t>
      </w:r>
      <w:r>
        <w:rPr>
          <w:rFonts w:hint="eastAsia" w:ascii="Times New Roman" w:hAnsi="Times New Roman" w:cs="Times New Roman"/>
          <w:sz w:val="24"/>
          <w:szCs w:val="24"/>
        </w:rPr>
        <w:t>通过，公司不断完善了各项管理制度，建全了产品（半成品、成品）检测、检验设备和手段，完善了产品质量全程跟踪服务体制。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公司现有员工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230</w:t>
      </w:r>
      <w:r>
        <w:rPr>
          <w:rFonts w:hint="eastAsia" w:ascii="Times New Roman" w:hAnsi="Times New Roman" w:cs="Times New Roman"/>
          <w:sz w:val="24"/>
          <w:szCs w:val="24"/>
        </w:rPr>
        <w:t>人，其中高级管理人员（高级工程师，会计师，经济师）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</w:rPr>
        <w:t>人，占员工比例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%；各类中级管理人员（工程师，技术员等）36人，占员工比例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cs="Times New Roman"/>
          <w:sz w:val="24"/>
          <w:szCs w:val="24"/>
        </w:rPr>
        <w:t>%；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公司拥有厂房共约22000平方米，各种设备（大小压机，混料机，球磨机，粉碎机）四十余台。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公司与各大高校建立了密切的合作关系，总体技术力量十分雄厚。公司实行严格的检验手段，不断提高产品的质量，提升产品的档次。公司重视市场，随时关注市场的需求、关注用户的需求，为生产出市场需求的产品，开拓进取，不断努力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为了适应现代化管理的需要，服务好市场和用户，公司采用了现代化的企业管理模式，培养了一大批学习型、知识型的管理人员和高素质的职工队伍。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近二十年来，本着诚信、务实、开拓、进取的经营理念，业务量不断上升，信誉度不断增强，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没有</w:t>
      </w:r>
      <w:r>
        <w:rPr>
          <w:rFonts w:hint="eastAsia" w:ascii="Times New Roman" w:hAnsi="Times New Roman" w:cs="Times New Roman"/>
          <w:sz w:val="24"/>
          <w:szCs w:val="24"/>
        </w:rPr>
        <w:t>出现过一笔应付未付款项目，生产的各类产品在使用中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没有</w:t>
      </w:r>
      <w:r>
        <w:rPr>
          <w:rFonts w:hint="eastAsia" w:ascii="Times New Roman" w:hAnsi="Times New Roman" w:cs="Times New Roman"/>
          <w:sz w:val="24"/>
          <w:szCs w:val="24"/>
        </w:rPr>
        <w:t>出现过重大责任事故。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公司地理位置：江苏省泰州姜堰区蒋垛镇工业集中区，它位于经济发达的长三角洲北岸，江苏省姜堰市南革命老区蒋垛镇工业集中区内，西临宁靖盐高速、京沪高速（宁通段），距上海虹桥机场不到两小时车程，距扬泰机场50公里，地理环境优越，交通十分便利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真诚希望与新老客户紧密合作，互利双赢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pStyle w:val="3"/>
        <w:spacing w:before="156" w:beforeLines="50" w:after="156" w:afterLines="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2、社会责任战略目标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1、消费者满意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通过不断整合产业链资源，提供快捷、便利、满意的产品和服务，不断提高顾客满意水平。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2、员工满意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尊重员工经济社会与文化权利，正确处理劳动关系，构建和谐、适宜、健康的工作环境，关注员工职业发展与健康福利保障，实现企业与员工共同发展。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3、节能环保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大力推进能源、环境、职业健康和安全管理体系建设，积极倡导绿色环保理念，注重环境保护，防止污染，推进能源和资源的可持续利用加大环境信息公开力度。</w:t>
      </w:r>
    </w:p>
    <w:p>
      <w:pPr>
        <w:pStyle w:val="3"/>
        <w:spacing w:before="156" w:beforeLines="50" w:after="156" w:afterLines="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3、纳税贡献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年公司全年</w:t>
      </w:r>
      <w:r>
        <w:rPr>
          <w:rFonts w:hint="eastAsia" w:ascii="Times New Roman" w:hAnsi="Times New Roman" w:cs="Times New Roman"/>
          <w:sz w:val="24"/>
          <w:szCs w:val="24"/>
        </w:rPr>
        <w:t>产量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22000吨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工业销售产值达</w:t>
      </w:r>
      <w:r>
        <w:rPr>
          <w:rFonts w:hint="eastAsia" w:ascii="宋体" w:hAnsi="宋体" w:eastAsia="宋体"/>
          <w:color w:val="000000"/>
          <w:spacing w:val="-20"/>
          <w:sz w:val="24"/>
          <w:szCs w:val="24"/>
          <w:lang w:val="en-US" w:eastAsia="zh-CN"/>
        </w:rPr>
        <w:t>21156.67</w:t>
      </w:r>
      <w:r>
        <w:rPr>
          <w:rFonts w:hint="eastAsia" w:ascii="Times New Roman" w:hAnsi="Times New Roman" w:cs="Times New Roman"/>
          <w:sz w:val="24"/>
          <w:szCs w:val="24"/>
        </w:rPr>
        <w:t>万</w:t>
      </w:r>
      <w:r>
        <w:rPr>
          <w:rFonts w:ascii="Times New Roman" w:hAnsi="Times New Roman" w:cs="Times New Roman"/>
          <w:sz w:val="24"/>
          <w:szCs w:val="24"/>
        </w:rPr>
        <w:t>元。公司始终把依法纳税作为企业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的</w:t>
      </w:r>
      <w:r>
        <w:rPr>
          <w:rFonts w:ascii="Times New Roman" w:hAnsi="Times New Roman" w:cs="Times New Roman"/>
          <w:sz w:val="24"/>
          <w:szCs w:val="24"/>
        </w:rPr>
        <w:t>诚信名片，税务管理从细微处入手，把强化财务管理，保障依法纳税作为践行企业社会责任的重要工作。20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年公司缴纳税金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1133.44</w:t>
      </w:r>
      <w:r>
        <w:rPr>
          <w:rFonts w:ascii="Times New Roman" w:hAnsi="Times New Roman" w:cs="Times New Roman"/>
          <w:sz w:val="24"/>
          <w:szCs w:val="24"/>
        </w:rPr>
        <w:t>万元。</w:t>
      </w:r>
    </w:p>
    <w:p>
      <w:pPr>
        <w:pStyle w:val="3"/>
        <w:spacing w:before="156" w:beforeLines="50" w:after="156" w:afterLines="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4、温室气体排放</w:t>
      </w:r>
      <w:r>
        <w:rPr>
          <w:rFonts w:hint="eastAsia" w:ascii="Times New Roman" w:hAnsi="Times New Roman" w:cs="Times New Roman"/>
          <w:sz w:val="28"/>
          <w:szCs w:val="28"/>
        </w:rPr>
        <w:t>情况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泰州市旺鑫耐火材料有限公司</w:t>
      </w:r>
      <w:r>
        <w:rPr>
          <w:rFonts w:ascii="Times New Roman" w:hAnsi="Times New Roman" w:cs="Times New Roman"/>
          <w:sz w:val="24"/>
          <w:szCs w:val="24"/>
        </w:rPr>
        <w:t>始终坚持“绿色</w:t>
      </w:r>
      <w:r>
        <w:rPr>
          <w:rFonts w:hint="eastAsia" w:ascii="Times New Roman" w:hAnsi="Times New Roman" w:cs="Times New Roman"/>
          <w:sz w:val="24"/>
          <w:szCs w:val="24"/>
        </w:rPr>
        <w:t>低碳发展，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综合</w:t>
      </w:r>
      <w:r>
        <w:rPr>
          <w:rFonts w:hint="eastAsia" w:ascii="Times New Roman" w:hAnsi="Times New Roman" w:cs="Times New Roman"/>
          <w:sz w:val="24"/>
          <w:szCs w:val="24"/>
        </w:rPr>
        <w:t>利用资源</w:t>
      </w:r>
      <w:r>
        <w:rPr>
          <w:rFonts w:ascii="Times New Roman" w:hAnsi="Times New Roman" w:cs="Times New Roman"/>
          <w:sz w:val="24"/>
          <w:szCs w:val="24"/>
        </w:rPr>
        <w:t>”，注重产品的开发，满足顾客的期望，注重社会效益，优的质量、优的服务满足用户和社会的需求。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公司</w:t>
      </w:r>
      <w:r>
        <w:rPr>
          <w:rFonts w:ascii="Times New Roman" w:hAnsi="Times New Roman" w:cs="Times New Roman"/>
          <w:sz w:val="24"/>
          <w:szCs w:val="24"/>
        </w:rPr>
        <w:t>作为低碳推行者，在生产中积极使用低碳能源，低碳设备，实现低碳高产，顺应低碳经济发展新趋势，积极开发低碳产品，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带领</w:t>
      </w:r>
      <w:r>
        <w:rPr>
          <w:rFonts w:ascii="Times New Roman" w:hAnsi="Times New Roman" w:cs="Times New Roman"/>
          <w:sz w:val="24"/>
          <w:szCs w:val="24"/>
        </w:rPr>
        <w:t>行业减碳，保障自身在市场竞争中的环保优势。</w:t>
      </w:r>
    </w:p>
    <w:p>
      <w:pPr>
        <w:pStyle w:val="17"/>
        <w:spacing w:line="360" w:lineRule="auto"/>
        <w:ind w:firstLine="480" w:firstLineChars="200"/>
        <w:rPr>
          <w:rFonts w:hint="eastAsia" w:ascii="Times New Roman"/>
          <w:kern w:val="2"/>
          <w:sz w:val="24"/>
          <w:szCs w:val="24"/>
          <w:lang w:val="en-US" w:eastAsia="zh-CN"/>
        </w:rPr>
      </w:pPr>
      <w:r>
        <w:rPr>
          <w:rFonts w:hint="eastAsia" w:ascii="Times New Roman"/>
          <w:kern w:val="2"/>
          <w:sz w:val="24"/>
          <w:szCs w:val="24"/>
        </w:rPr>
        <w:t>公司生产主要以清洁能源为主，</w:t>
      </w:r>
      <w:r>
        <w:rPr>
          <w:rFonts w:hint="eastAsia" w:ascii="Times New Roman"/>
          <w:kern w:val="2"/>
          <w:sz w:val="24"/>
          <w:szCs w:val="24"/>
          <w:lang w:val="en-US" w:eastAsia="zh-CN"/>
        </w:rPr>
        <w:t>以光伏发电为辅，采取</w:t>
      </w:r>
      <w:r>
        <w:rPr>
          <w:rFonts w:hint="eastAsia" w:ascii="Times New Roman"/>
          <w:kern w:val="2"/>
          <w:sz w:val="24"/>
          <w:szCs w:val="24"/>
        </w:rPr>
        <w:t>各种措施降低生</w:t>
      </w:r>
      <w:r>
        <w:rPr>
          <w:rFonts w:hint="eastAsia" w:ascii="Times New Roman"/>
          <w:kern w:val="2"/>
          <w:sz w:val="24"/>
          <w:szCs w:val="24"/>
          <w:lang w:val="en-US" w:eastAsia="zh-CN"/>
        </w:rPr>
        <w:t>产过程的各种能源消耗。每个烘干窑、裸烧窑等都装有焚烧炉，烟气经焚烧后再排放到大气中，大大减少了污染物的含量，焚烧的热量同时可以再利用。</w:t>
      </w:r>
    </w:p>
    <w:p>
      <w:pPr>
        <w:pStyle w:val="3"/>
        <w:spacing w:before="156" w:beforeLines="50" w:after="156" w:afterLines="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5、社会</w:t>
      </w:r>
      <w:r>
        <w:rPr>
          <w:rFonts w:hint="eastAsia" w:ascii="Times New Roman" w:hAnsi="Times New Roman" w:cs="Times New Roman"/>
          <w:sz w:val="28"/>
          <w:szCs w:val="28"/>
        </w:rPr>
        <w:t>责任履行</w:t>
      </w:r>
      <w:r>
        <w:rPr>
          <w:rFonts w:ascii="Times New Roman" w:hAnsi="Times New Roman" w:cs="Times New Roman"/>
          <w:sz w:val="28"/>
          <w:szCs w:val="28"/>
        </w:rPr>
        <w:t>情况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合法经营，为社会承担责任，是公司持久的发展理念。近</w:t>
      </w:r>
      <w:r>
        <w:rPr>
          <w:rFonts w:hint="eastAsia" w:ascii="Times New Roman" w:hAnsi="Times New Roman" w:cs="Times New Roman"/>
          <w:sz w:val="24"/>
          <w:szCs w:val="24"/>
        </w:rPr>
        <w:t>些</w:t>
      </w:r>
      <w:r>
        <w:rPr>
          <w:rFonts w:ascii="Times New Roman" w:hAnsi="Times New Roman" w:cs="Times New Roman"/>
          <w:sz w:val="24"/>
          <w:szCs w:val="24"/>
        </w:rPr>
        <w:t>年来，公司在合规经营、推动行业发展、环境保护、扶贫帮困等领域均取得了较大收获。公司坚持“做强企业、回报社会”的公益原则，积极为慈善事业和地方社会事业做出贡献。包括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抗击疫情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教育发展基金</w:t>
      </w:r>
      <w:r>
        <w:rPr>
          <w:rFonts w:hint="eastAsia" w:ascii="Times New Roman" w:hAnsi="Times New Roman" w:cs="Times New Roman"/>
          <w:sz w:val="24"/>
          <w:szCs w:val="24"/>
        </w:rPr>
        <w:t>捐款</w:t>
      </w:r>
      <w:r>
        <w:rPr>
          <w:rFonts w:ascii="Times New Roman" w:hAnsi="Times New Roman" w:cs="Times New Roman"/>
          <w:sz w:val="24"/>
          <w:szCs w:val="24"/>
        </w:rPr>
        <w:t>等慈善</w:t>
      </w:r>
      <w:r>
        <w:rPr>
          <w:rFonts w:hint="eastAsia" w:ascii="Times New Roman" w:hAnsi="Times New Roman" w:cs="Times New Roman"/>
          <w:sz w:val="24"/>
          <w:szCs w:val="24"/>
        </w:rPr>
        <w:t>公共</w:t>
      </w:r>
      <w:r>
        <w:rPr>
          <w:rFonts w:ascii="Times New Roman" w:hAnsi="Times New Roman" w:cs="Times New Roman"/>
          <w:sz w:val="24"/>
          <w:szCs w:val="24"/>
        </w:rPr>
        <w:t>事业，近年来累计捐赠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70</w:t>
      </w:r>
      <w:r>
        <w:rPr>
          <w:rFonts w:ascii="Times New Roman" w:hAnsi="Times New Roman" w:cs="Times New Roman"/>
          <w:sz w:val="24"/>
          <w:szCs w:val="24"/>
        </w:rPr>
        <w:t>万</w:t>
      </w:r>
      <w:r>
        <w:rPr>
          <w:rFonts w:hint="eastAsia" w:ascii="Times New Roman" w:hAnsi="Times New Roman" w:cs="Times New Roman"/>
          <w:sz w:val="24"/>
          <w:szCs w:val="24"/>
        </w:rPr>
        <w:t>余</w:t>
      </w:r>
      <w:r>
        <w:rPr>
          <w:rFonts w:ascii="Times New Roman" w:hAnsi="Times New Roman" w:cs="Times New Roman"/>
          <w:sz w:val="24"/>
          <w:szCs w:val="24"/>
        </w:rPr>
        <w:t>元</w:t>
      </w:r>
      <w:r>
        <w:rPr>
          <w:rFonts w:hint="eastAsia" w:ascii="Times New Roman" w:hAnsi="Times New Roman" w:cs="Times New Roman"/>
          <w:sz w:val="24"/>
          <w:szCs w:val="24"/>
        </w:rPr>
        <w:t>；荣获江苏省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五一劳动奖状、五一劳动先锋</w:t>
      </w:r>
      <w:r>
        <w:rPr>
          <w:rFonts w:hint="eastAsia" w:ascii="Times New Roman" w:hAnsi="Times New Roman" w:cs="Times New Roman"/>
          <w:sz w:val="24"/>
          <w:szCs w:val="24"/>
        </w:rPr>
        <w:t>等多项荣誉称号。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757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restart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今年来参与光彩事业和社会公益事业情况</w:t>
            </w:r>
          </w:p>
        </w:tc>
        <w:tc>
          <w:tcPr>
            <w:tcW w:w="475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项目内容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（时间、地点、参与单位、受助对象等）</w:t>
            </w:r>
          </w:p>
        </w:tc>
        <w:tc>
          <w:tcPr>
            <w:tcW w:w="218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实际捐款捐物金额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2018年向蒋垛中学捐赠大型空调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2019年向克强学校捐赠直饮水机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2019年12月向武汉科技大学教育发展基金会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2020年2月向泰州红十字会捐款抗疫情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2021年1月向红十字会捐款，幸福姜城项目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7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2021年2月向蒋垛敬老院捐赠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7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2021年12月向蒋垛镇捐赠教育基金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39"/>
    <w:rsid w:val="0000095F"/>
    <w:rsid w:val="000115BE"/>
    <w:rsid w:val="000654FC"/>
    <w:rsid w:val="0007254F"/>
    <w:rsid w:val="000D0D2E"/>
    <w:rsid w:val="00116857"/>
    <w:rsid w:val="00124D74"/>
    <w:rsid w:val="001D2647"/>
    <w:rsid w:val="001D39EA"/>
    <w:rsid w:val="0020176F"/>
    <w:rsid w:val="0020620B"/>
    <w:rsid w:val="00216F37"/>
    <w:rsid w:val="0023508F"/>
    <w:rsid w:val="002567E4"/>
    <w:rsid w:val="00274B43"/>
    <w:rsid w:val="00275E7C"/>
    <w:rsid w:val="002A18EC"/>
    <w:rsid w:val="002A2340"/>
    <w:rsid w:val="002A5AB3"/>
    <w:rsid w:val="002A5C6C"/>
    <w:rsid w:val="002C3030"/>
    <w:rsid w:val="00301AF1"/>
    <w:rsid w:val="003137BE"/>
    <w:rsid w:val="0031564C"/>
    <w:rsid w:val="00325943"/>
    <w:rsid w:val="00327A87"/>
    <w:rsid w:val="00344CCC"/>
    <w:rsid w:val="003666FC"/>
    <w:rsid w:val="00385EB2"/>
    <w:rsid w:val="003A2142"/>
    <w:rsid w:val="003A2665"/>
    <w:rsid w:val="003C3B2F"/>
    <w:rsid w:val="003E7C70"/>
    <w:rsid w:val="00410C3E"/>
    <w:rsid w:val="0041122A"/>
    <w:rsid w:val="00435E17"/>
    <w:rsid w:val="004471E7"/>
    <w:rsid w:val="004601FC"/>
    <w:rsid w:val="0046390A"/>
    <w:rsid w:val="00472083"/>
    <w:rsid w:val="00484B46"/>
    <w:rsid w:val="00496968"/>
    <w:rsid w:val="004C582E"/>
    <w:rsid w:val="004E3490"/>
    <w:rsid w:val="00501AD7"/>
    <w:rsid w:val="00505324"/>
    <w:rsid w:val="005344BB"/>
    <w:rsid w:val="005546B7"/>
    <w:rsid w:val="00570C4C"/>
    <w:rsid w:val="005857EA"/>
    <w:rsid w:val="005B4199"/>
    <w:rsid w:val="005D06EC"/>
    <w:rsid w:val="005D6205"/>
    <w:rsid w:val="005E0FFA"/>
    <w:rsid w:val="00646AB7"/>
    <w:rsid w:val="00671CCD"/>
    <w:rsid w:val="006C0A46"/>
    <w:rsid w:val="006C232A"/>
    <w:rsid w:val="006D3220"/>
    <w:rsid w:val="0073412E"/>
    <w:rsid w:val="0074656D"/>
    <w:rsid w:val="007E0814"/>
    <w:rsid w:val="00851638"/>
    <w:rsid w:val="00881F4E"/>
    <w:rsid w:val="00902039"/>
    <w:rsid w:val="009067E9"/>
    <w:rsid w:val="009216C8"/>
    <w:rsid w:val="00966EF5"/>
    <w:rsid w:val="009B1A28"/>
    <w:rsid w:val="009B33AD"/>
    <w:rsid w:val="009C0E6B"/>
    <w:rsid w:val="00A10570"/>
    <w:rsid w:val="00A70737"/>
    <w:rsid w:val="00A837F9"/>
    <w:rsid w:val="00A96116"/>
    <w:rsid w:val="00AA0B90"/>
    <w:rsid w:val="00AA575D"/>
    <w:rsid w:val="00AB37BE"/>
    <w:rsid w:val="00B61395"/>
    <w:rsid w:val="00B863ED"/>
    <w:rsid w:val="00BB0F69"/>
    <w:rsid w:val="00C14571"/>
    <w:rsid w:val="00C3626B"/>
    <w:rsid w:val="00C4120C"/>
    <w:rsid w:val="00C5009F"/>
    <w:rsid w:val="00C573B0"/>
    <w:rsid w:val="00CE105E"/>
    <w:rsid w:val="00D118A3"/>
    <w:rsid w:val="00D2468A"/>
    <w:rsid w:val="00D251A6"/>
    <w:rsid w:val="00D265A8"/>
    <w:rsid w:val="00D33FFE"/>
    <w:rsid w:val="00DA296E"/>
    <w:rsid w:val="00DA5F15"/>
    <w:rsid w:val="00DB1D2C"/>
    <w:rsid w:val="00DE3DAE"/>
    <w:rsid w:val="00DF56F1"/>
    <w:rsid w:val="00E0385F"/>
    <w:rsid w:val="00E17AD3"/>
    <w:rsid w:val="00E422E2"/>
    <w:rsid w:val="00E52EED"/>
    <w:rsid w:val="00E5457E"/>
    <w:rsid w:val="00EB190D"/>
    <w:rsid w:val="00EB2F36"/>
    <w:rsid w:val="00EC1634"/>
    <w:rsid w:val="00EC6A77"/>
    <w:rsid w:val="00ED3B49"/>
    <w:rsid w:val="00EE2BD5"/>
    <w:rsid w:val="00EF0318"/>
    <w:rsid w:val="00EF56DB"/>
    <w:rsid w:val="00F21B13"/>
    <w:rsid w:val="00F317CC"/>
    <w:rsid w:val="00F62D89"/>
    <w:rsid w:val="00F66C1E"/>
    <w:rsid w:val="00FC7507"/>
    <w:rsid w:val="00FC7D01"/>
    <w:rsid w:val="00FE5342"/>
    <w:rsid w:val="00FE5696"/>
    <w:rsid w:val="124C2A34"/>
    <w:rsid w:val="16C74E00"/>
    <w:rsid w:val="1A3F7516"/>
    <w:rsid w:val="230E5A8A"/>
    <w:rsid w:val="232E5099"/>
    <w:rsid w:val="26627934"/>
    <w:rsid w:val="3D0F7D1C"/>
    <w:rsid w:val="3E29751A"/>
    <w:rsid w:val="46D0465F"/>
    <w:rsid w:val="4DF24E1D"/>
    <w:rsid w:val="50DB1A84"/>
    <w:rsid w:val="53320101"/>
    <w:rsid w:val="679C34B1"/>
    <w:rsid w:val="6B9B22F4"/>
    <w:rsid w:val="6BB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style01"/>
    <w:basedOn w:val="9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1">
    <w:name w:val="fontstyle21"/>
    <w:basedOn w:val="9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2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1 字符"/>
    <w:basedOn w:val="9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4">
    <w:name w:val="页眉 字符"/>
    <w:basedOn w:val="9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C9629-B7E4-4FD2-9F84-BF8ABD9D6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2373</Words>
  <Characters>2500</Characters>
  <Lines>13</Lines>
  <Paragraphs>3</Paragraphs>
  <TotalTime>68</TotalTime>
  <ScaleCrop>false</ScaleCrop>
  <LinksUpToDate>false</LinksUpToDate>
  <CharactersWithSpaces>2543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2017-07-18T01:28:00Z</dcterms:created>
  <dc:creator>DW</dc:creator>
  <cp:lastModifiedBy>Gavin</cp:lastModifiedBy>
  <dcterms:modified xsi:type="dcterms:W3CDTF">2022-04-06T07:16:58Z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09D8FE5134364B6AAA70FAC05B406B71</vt:lpwstr>
  </property>
</Properties>
</file>